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BF" w:rsidRPr="00120603" w:rsidRDefault="001063BF" w:rsidP="001063BF">
      <w:pPr>
        <w:tabs>
          <w:tab w:val="left" w:pos="567"/>
        </w:tabs>
        <w:spacing w:afterLines="20" w:after="72" w:line="420" w:lineRule="exact"/>
        <w:jc w:val="both"/>
        <w:rPr>
          <w:rFonts w:ascii="標楷體" w:eastAsia="標楷體" w:hAnsi="標楷體"/>
          <w:bCs/>
          <w:sz w:val="20"/>
        </w:rPr>
      </w:pPr>
      <w:r w:rsidRPr="00120603">
        <w:rPr>
          <w:rFonts w:ascii="標楷體" w:eastAsia="標楷體" w:hAnsi="標楷體" w:hint="eastAsia"/>
          <w:bCs/>
          <w:sz w:val="20"/>
        </w:rPr>
        <w:t>110學年度入學新生適用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4"/>
        <w:gridCol w:w="304"/>
        <w:gridCol w:w="776"/>
        <w:gridCol w:w="1016"/>
        <w:gridCol w:w="417"/>
        <w:gridCol w:w="389"/>
        <w:gridCol w:w="389"/>
        <w:gridCol w:w="389"/>
        <w:gridCol w:w="389"/>
        <w:gridCol w:w="389"/>
        <w:gridCol w:w="389"/>
        <w:gridCol w:w="3211"/>
      </w:tblGrid>
      <w:tr w:rsidR="001063BF" w:rsidRPr="00220D8A" w:rsidTr="004D3E12">
        <w:trPr>
          <w:cantSplit/>
          <w:tblHeader/>
          <w:jc w:val="center"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課程</w:t>
            </w:r>
          </w:p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類別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eastAsia="標楷體" w:hAnsi="標楷體" w:hint="eastAsia"/>
                <w:sz w:val="18"/>
                <w:szCs w:val="18"/>
              </w:rPr>
              <w:t>領域</w:t>
            </w:r>
            <w:r w:rsidRPr="00120603">
              <w:rPr>
                <w:rFonts w:eastAsia="標楷體"/>
                <w:sz w:val="18"/>
                <w:szCs w:val="18"/>
              </w:rPr>
              <w:t>/</w:t>
            </w: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科目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distribute"/>
              <w:rPr>
                <w:rFonts w:eastAsia="標楷體"/>
                <w:sz w:val="18"/>
                <w:szCs w:val="18"/>
              </w:rPr>
            </w:pPr>
            <w:r w:rsidRPr="00120603">
              <w:rPr>
                <w:rFonts w:eastAsia="標楷體" w:hAnsi="標楷體" w:hint="eastAsia"/>
                <w:sz w:val="18"/>
                <w:szCs w:val="18"/>
              </w:rPr>
              <w:t>建議</w:t>
            </w:r>
            <w:proofErr w:type="gramStart"/>
            <w:r w:rsidRPr="00120603">
              <w:rPr>
                <w:rFonts w:eastAsia="標楷體" w:hAnsi="標楷體" w:hint="eastAsia"/>
                <w:sz w:val="18"/>
                <w:szCs w:val="18"/>
              </w:rPr>
              <w:t>授課年段與</w:t>
            </w:r>
            <w:proofErr w:type="gramEnd"/>
            <w:r w:rsidRPr="00120603">
              <w:rPr>
                <w:rFonts w:eastAsia="標楷體" w:hAnsi="標楷體" w:hint="eastAsia"/>
                <w:sz w:val="18"/>
                <w:szCs w:val="18"/>
              </w:rPr>
              <w:t>學分配置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3BF" w:rsidRPr="00220D8A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b/>
                <w:sz w:val="18"/>
                <w:szCs w:val="18"/>
                <w:lang w:eastAsia="ar-SA"/>
              </w:rPr>
            </w:pPr>
            <w:r w:rsidRPr="00220D8A">
              <w:rPr>
                <w:rFonts w:cs="標楷體" w:hint="eastAsia"/>
                <w:b/>
                <w:bCs/>
                <w:sz w:val="18"/>
                <w:szCs w:val="18"/>
                <w:rtl/>
                <w:lang w:eastAsia="ar-SA"/>
              </w:rPr>
              <w:t>備</w:t>
            </w:r>
            <w:r w:rsidRPr="00120603">
              <w:rPr>
                <w:rFonts w:eastAsia="標楷體"/>
                <w:sz w:val="18"/>
                <w:szCs w:val="18"/>
                <w:lang w:eastAsia="ar-SA"/>
              </w:rPr>
              <w:t xml:space="preserve">       </w:t>
            </w: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註</w:t>
            </w:r>
          </w:p>
        </w:tc>
      </w:tr>
      <w:tr w:rsidR="001063BF" w:rsidRPr="00220D8A" w:rsidTr="004D3E12">
        <w:trPr>
          <w:cantSplit/>
          <w:trHeight w:hRule="exact" w:val="284"/>
          <w:tblHeader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eastAsia="標楷體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3"/>
            <w:vMerge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eastAsia="標楷體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第一學年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第二學年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第三學年</w:t>
            </w: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1063BF" w:rsidRPr="00220D8A" w:rsidRDefault="001063BF" w:rsidP="004D3E12">
            <w:pPr>
              <w:widowControl/>
              <w:snapToGrid w:val="0"/>
              <w:rPr>
                <w:rFonts w:eastAsia="標楷體"/>
                <w:b/>
                <w:sz w:val="18"/>
                <w:szCs w:val="18"/>
                <w:lang w:eastAsia="ar-SA"/>
              </w:rPr>
            </w:pPr>
          </w:p>
        </w:tc>
      </w:tr>
      <w:tr w:rsidR="001063BF" w:rsidRPr="00220D8A" w:rsidTr="004D3E12">
        <w:trPr>
          <w:cantSplit/>
          <w:trHeight w:hRule="exact" w:val="284"/>
          <w:tblHeader/>
          <w:jc w:val="center"/>
        </w:trPr>
        <w:tc>
          <w:tcPr>
            <w:tcW w:w="0" w:type="auto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eastAsia="標楷體"/>
                <w:sz w:val="18"/>
                <w:szCs w:val="18"/>
                <w:lang w:eastAsia="ar-SA"/>
              </w:rPr>
            </w:pPr>
            <w:r>
              <w:rPr>
                <w:rFonts w:eastAsia="標楷體" w:hint="eastAsia"/>
                <w:sz w:val="18"/>
                <w:szCs w:val="18"/>
              </w:rPr>
              <w:t>名稱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cs="標楷體" w:hint="eastAsia"/>
                <w:bCs/>
                <w:sz w:val="18"/>
                <w:szCs w:val="18"/>
                <w:rtl/>
              </w:rPr>
              <w:t>稱名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學分</w:t>
            </w:r>
          </w:p>
        </w:tc>
        <w:tc>
          <w:tcPr>
            <w:tcW w:w="0" w:type="auto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  <w:lang w:eastAsia="ar-SA"/>
              </w:rPr>
            </w:pPr>
            <w:r w:rsidRPr="00120603">
              <w:rPr>
                <w:rFonts w:cs="標楷體" w:hint="eastAsia"/>
                <w:bCs/>
                <w:sz w:val="18"/>
                <w:szCs w:val="18"/>
                <w:rtl/>
                <w:lang w:eastAsia="ar-SA"/>
              </w:rPr>
              <w:t>二</w:t>
            </w: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1063BF" w:rsidRPr="00220D8A" w:rsidRDefault="001063BF" w:rsidP="004D3E12">
            <w:pPr>
              <w:widowControl/>
              <w:snapToGrid w:val="0"/>
              <w:rPr>
                <w:rFonts w:eastAsia="標楷體"/>
                <w:b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ind w:left="130" w:right="780"/>
              <w:jc w:val="distribute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  <w:rtl/>
                <w:lang w:eastAsia="ar-SA"/>
              </w:rPr>
              <w:t>部定必修</w:t>
            </w:r>
          </w:p>
        </w:tc>
        <w:tc>
          <w:tcPr>
            <w:tcW w:w="0" w:type="auto"/>
            <w:vMerge w:val="restart"/>
            <w:textDirection w:val="tbRlV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一般科目</w:t>
            </w:r>
          </w:p>
        </w:tc>
        <w:tc>
          <w:tcPr>
            <w:tcW w:w="776" w:type="dxa"/>
            <w:vMerge w:val="restart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語文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國語文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906" w:type="dxa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trike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英</w:t>
            </w: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語</w:t>
            </w: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文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val="24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數學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數學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rPr>
                <w:rFonts w:ascii="標楷體" w:eastAsia="標楷體" w:hAnsi="標楷體"/>
                <w:spacing w:val="-6"/>
                <w:kern w:val="18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6"/>
                <w:kern w:val="18"/>
                <w:sz w:val="18"/>
                <w:szCs w:val="18"/>
              </w:rPr>
              <w:t>C版</w:t>
            </w:r>
          </w:p>
        </w:tc>
      </w:tr>
      <w:tr w:rsidR="001063BF" w:rsidRPr="00120603" w:rsidTr="004D3E12">
        <w:trPr>
          <w:cantSplit/>
          <w:trHeight w:val="273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社會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歷史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val="278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地理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val="409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公民與社會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val="841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自然</w:t>
            </w:r>
          </w:p>
          <w:p w:rsidR="001063BF" w:rsidRPr="00120603" w:rsidRDefault="001063BF" w:rsidP="004D3E12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科學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物理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A版</w:t>
            </w:r>
          </w:p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</w:p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本校學生物理程度很差，必須從頭教起，</w:t>
            </w: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內容若太多，學習成效不佳，本校無專業物理教師</w:t>
            </w:r>
          </w:p>
        </w:tc>
      </w:tr>
      <w:tr w:rsidR="001063BF" w:rsidRPr="00120603" w:rsidTr="004D3E12">
        <w:trPr>
          <w:cantSplit/>
          <w:trHeight w:val="375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化學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B版</w:t>
            </w:r>
          </w:p>
        </w:tc>
      </w:tr>
      <w:tr w:rsidR="001063BF" w:rsidRPr="00120603" w:rsidTr="004D3E12">
        <w:trPr>
          <w:cantSplit/>
          <w:trHeight w:hRule="exact" w:val="43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藝術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音樂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kinsoku w:val="0"/>
              <w:overflowPunct w:val="0"/>
              <w:adjustRightInd w:val="0"/>
              <w:snapToGrid w:val="0"/>
              <w:ind w:left="140" w:hangingChars="78" w:hanging="14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val="416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美術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z w:val="18"/>
                <w:szCs w:val="18"/>
              </w:rPr>
              <w:t>因為彈性課程全校統一時間，故調整開課時程</w:t>
            </w:r>
          </w:p>
        </w:tc>
      </w:tr>
      <w:tr w:rsidR="001063BF" w:rsidRPr="00120603" w:rsidTr="004D3E12">
        <w:trPr>
          <w:cantSplit/>
          <w:trHeight w:hRule="exact" w:val="30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綜合活動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生涯規劃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科技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auto"/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健康與</w:t>
            </w:r>
          </w:p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體育</w:t>
            </w: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健康與護理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776" w:type="dxa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pacing w:val="-10"/>
                <w:sz w:val="18"/>
                <w:szCs w:val="18"/>
                <w:rtl/>
                <w:lang w:eastAsia="ar-SA"/>
              </w:rPr>
              <w:t>體育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hint="eastAsia"/>
                <w:bCs/>
                <w:sz w:val="18"/>
                <w:szCs w:val="18"/>
              </w:rPr>
              <w:t>全民國防教育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b/>
                <w:bCs/>
                <w:spacing w:val="-10"/>
                <w:sz w:val="18"/>
                <w:szCs w:val="18"/>
                <w:rtl/>
                <w:lang w:eastAsia="ar-SA"/>
              </w:rPr>
              <w:t>小</w:t>
            </w:r>
            <w:r w:rsidRPr="00120603">
              <w:rPr>
                <w:rFonts w:ascii="標楷體" w:eastAsia="標楷體" w:hAnsi="標楷體"/>
                <w:b/>
                <w:spacing w:val="-10"/>
                <w:sz w:val="18"/>
                <w:szCs w:val="18"/>
                <w:lang w:eastAsia="ar-SA"/>
              </w:rPr>
              <w:t xml:space="preserve">                </w:t>
            </w:r>
            <w:r w:rsidRPr="00120603">
              <w:rPr>
                <w:rFonts w:ascii="標楷體" w:eastAsia="標楷體" w:hAnsi="標楷體" w:cs="標楷體" w:hint="eastAsia"/>
                <w:b/>
                <w:bCs/>
                <w:spacing w:val="-10"/>
                <w:sz w:val="18"/>
                <w:szCs w:val="18"/>
                <w:rtl/>
                <w:lang w:eastAsia="ar-SA"/>
              </w:rPr>
              <w:t>計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right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proofErr w:type="gramStart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部定必修</w:t>
            </w:r>
            <w:proofErr w:type="gramEnd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一般科目總計70學分</w:t>
            </w:r>
          </w:p>
        </w:tc>
      </w:tr>
      <w:tr w:rsidR="001063BF" w:rsidRPr="00120603" w:rsidTr="004D3E12">
        <w:trPr>
          <w:cantSplit/>
          <w:trHeight w:hRule="exact"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extDirection w:val="tbRlV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ind w:left="113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z w:val="18"/>
                <w:szCs w:val="18"/>
                <w:rtl/>
                <w:lang w:eastAsia="ar-SA"/>
              </w:rPr>
              <w:t>專業科目</w:t>
            </w: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普通化學</w:t>
            </w: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分析化學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基礎化工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化工裝置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小計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proofErr w:type="gramStart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部定必修</w:t>
            </w:r>
            <w:proofErr w:type="gramEnd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專業科目總計28學分</w:t>
            </w: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 w:val="restart"/>
            <w:textDirection w:val="tbRlV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sz w:val="18"/>
                <w:szCs w:val="18"/>
                <w:rtl/>
                <w:lang w:eastAsia="ar-SA"/>
              </w:rPr>
              <w:t>實習科目</w:t>
            </w: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普通化學實習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分析化學實習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25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化工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化工裝置實習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561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化工儀器實習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bCs/>
                <w:spacing w:val="-10"/>
                <w:sz w:val="18"/>
                <w:szCs w:val="18"/>
                <w:rtl/>
                <w:lang w:eastAsia="ar-SA"/>
              </w:rPr>
              <w:t>小</w:t>
            </w:r>
            <w:r w:rsidRPr="00120603"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  <w:t xml:space="preserve">                </w:t>
            </w:r>
            <w:r w:rsidRPr="00120603">
              <w:rPr>
                <w:rFonts w:ascii="標楷體" w:eastAsia="標楷體" w:hAnsi="標楷體" w:cs="標楷體" w:hint="eastAsia"/>
                <w:bCs/>
                <w:spacing w:val="-10"/>
                <w:sz w:val="18"/>
                <w:szCs w:val="18"/>
                <w:rtl/>
                <w:lang w:eastAsia="ar-SA"/>
              </w:rPr>
              <w:t>計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  <w:lang w:eastAsia="ar-SA"/>
              </w:rPr>
              <w:t>部定必修專業科目總計</w:t>
            </w: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26</w:t>
            </w: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  <w:lang w:eastAsia="ar-SA"/>
              </w:rPr>
              <w:t>學分</w:t>
            </w: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 w:cs="標楷體"/>
                <w:bCs/>
                <w:spacing w:val="-10"/>
                <w:sz w:val="18"/>
                <w:szCs w:val="18"/>
                <w:rtl/>
                <w:lang w:eastAsia="ar-SA"/>
              </w:rPr>
            </w:pPr>
            <w:r w:rsidRPr="00120603">
              <w:rPr>
                <w:rFonts w:ascii="標楷體" w:eastAsia="標楷體" w:hAnsi="標楷體" w:cs="標楷體" w:hint="eastAsia"/>
                <w:bCs/>
                <w:spacing w:val="-10"/>
                <w:sz w:val="18"/>
                <w:szCs w:val="18"/>
              </w:rPr>
              <w:t>專業及實習科目合計</w:t>
            </w:r>
          </w:p>
        </w:tc>
        <w:tc>
          <w:tcPr>
            <w:tcW w:w="0" w:type="auto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1063BF" w:rsidRPr="00120603" w:rsidTr="004D3E12">
        <w:trPr>
          <w:cantSplit/>
          <w:trHeight w:hRule="exact" w:val="312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3BF" w:rsidRPr="00120603" w:rsidRDefault="001063BF" w:rsidP="004D3E12">
            <w:pPr>
              <w:widowControl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 w:cs="標楷體"/>
                <w:bCs/>
                <w:spacing w:val="-10"/>
                <w:sz w:val="18"/>
                <w:szCs w:val="18"/>
                <w:rtl/>
                <w:lang w:eastAsia="ar-SA"/>
              </w:rPr>
            </w:pPr>
            <w:proofErr w:type="gramStart"/>
            <w:r w:rsidRPr="00120603">
              <w:rPr>
                <w:rFonts w:ascii="標楷體" w:eastAsia="標楷體" w:hAnsi="標楷體" w:cs="標楷體" w:hint="eastAsia"/>
                <w:bCs/>
                <w:spacing w:val="-10"/>
                <w:sz w:val="18"/>
                <w:szCs w:val="18"/>
              </w:rPr>
              <w:t>部定必修</w:t>
            </w:r>
            <w:proofErr w:type="gramEnd"/>
            <w:r w:rsidRPr="00120603">
              <w:rPr>
                <w:rFonts w:ascii="標楷體" w:eastAsia="標楷體" w:hAnsi="標楷體" w:cs="標楷體" w:hint="eastAsia"/>
                <w:bCs/>
                <w:spacing w:val="-10"/>
                <w:sz w:val="18"/>
                <w:szCs w:val="18"/>
              </w:rPr>
              <w:t>合計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left w:val="doub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3BF" w:rsidRPr="00120603" w:rsidRDefault="001063BF" w:rsidP="004D3E12">
            <w:pPr>
              <w:adjustRightInd w:val="0"/>
              <w:snapToGrid w:val="0"/>
              <w:jc w:val="righ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1063BF" w:rsidRPr="00120603" w:rsidRDefault="001063BF" w:rsidP="004D3E12">
            <w:pPr>
              <w:suppressAutoHyphens/>
              <w:adjustRightInd w:val="0"/>
              <w:snapToGrid w:val="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proofErr w:type="gramStart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部定必修</w:t>
            </w:r>
            <w:proofErr w:type="gramEnd"/>
            <w:r w:rsidRPr="0012060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總計124學分</w:t>
            </w:r>
          </w:p>
        </w:tc>
      </w:tr>
    </w:tbl>
    <w:p w:rsidR="003F52CC" w:rsidRDefault="003F52CC">
      <w:bookmarkStart w:id="0" w:name="_GoBack"/>
      <w:bookmarkEnd w:id="0"/>
    </w:p>
    <w:sectPr w:rsidR="003F52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F"/>
    <w:rsid w:val="001063BF"/>
    <w:rsid w:val="003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2021-11-02T03:27:00Z</dcterms:created>
  <dcterms:modified xsi:type="dcterms:W3CDTF">2021-11-02T03:28:00Z</dcterms:modified>
</cp:coreProperties>
</file>