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08" w:rsidRPr="00B74767" w:rsidRDefault="00756408" w:rsidP="00756408">
      <w:pPr>
        <w:widowControl/>
        <w:ind w:firstLine="482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B74767">
        <w:rPr>
          <w:rFonts w:ascii="標楷體" w:eastAsia="標楷體" w:hAnsi="標楷體" w:hint="eastAsia"/>
          <w:b/>
          <w:sz w:val="32"/>
          <w:szCs w:val="32"/>
        </w:rPr>
        <w:t>國立北港</w:t>
      </w:r>
      <w:r w:rsidR="00BD190B">
        <w:rPr>
          <w:rFonts w:ascii="標楷體" w:eastAsia="標楷體" w:hAnsi="標楷體" w:hint="eastAsia"/>
          <w:b/>
          <w:sz w:val="32"/>
          <w:szCs w:val="32"/>
        </w:rPr>
        <w:t>高級農工職業學校</w:t>
      </w:r>
      <w:r w:rsidRPr="00B7476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學生課業輔導實施要點</w:t>
      </w:r>
      <w:r w:rsidR="00E614E3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:rsidR="00756408" w:rsidRPr="00DD0EA4" w:rsidRDefault="00756408" w:rsidP="00756408">
      <w:pPr>
        <w:widowControl/>
        <w:wordWrap w:val="0"/>
        <w:snapToGrid w:val="0"/>
        <w:ind w:firstLine="198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中華民國95年6月27日校務會議討論通過</w:t>
      </w:r>
    </w:p>
    <w:p w:rsidR="00D24544" w:rsidRPr="00DD0EA4" w:rsidRDefault="00D24544" w:rsidP="00D24544">
      <w:pPr>
        <w:widowControl/>
        <w:snapToGrid w:val="0"/>
        <w:ind w:firstLine="198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bookmarkStart w:id="0" w:name="_GoBack"/>
      <w:bookmarkEnd w:id="0"/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中華民國106年1月19日校務會議討論</w:t>
      </w:r>
      <w:r w:rsidR="00CC6021"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:rsidR="00E614E3" w:rsidRPr="00DD0EA4" w:rsidRDefault="00E614E3" w:rsidP="00A11251">
      <w:pPr>
        <w:widowControl/>
        <w:wordWrap w:val="0"/>
        <w:snapToGrid w:val="0"/>
        <w:ind w:firstLine="198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中華民國</w:t>
      </w:r>
      <w:r w:rsidRPr="00DD0EA4">
        <w:rPr>
          <w:rFonts w:ascii="標楷體" w:eastAsia="標楷體" w:hAnsi="標楷體" w:cs="新細明體"/>
          <w:kern w:val="0"/>
          <w:sz w:val="20"/>
          <w:szCs w:val="20"/>
        </w:rPr>
        <w:t>113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DD0EA4">
        <w:rPr>
          <w:rFonts w:ascii="標楷體" w:eastAsia="標楷體" w:hAnsi="標楷體" w:cs="新細明體"/>
          <w:kern w:val="0"/>
          <w:sz w:val="20"/>
          <w:szCs w:val="20"/>
        </w:rPr>
        <w:t>4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DD0EA4">
        <w:rPr>
          <w:rFonts w:ascii="標楷體" w:eastAsia="標楷體" w:hAnsi="標楷體" w:cs="新細明體"/>
          <w:kern w:val="0"/>
          <w:sz w:val="20"/>
          <w:szCs w:val="20"/>
        </w:rPr>
        <w:t>23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日行政會議討論</w:t>
      </w:r>
      <w:r w:rsidR="00A11251"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:rsidR="00CD1AD1" w:rsidRPr="00DD0EA4" w:rsidRDefault="00CD1AD1" w:rsidP="00CD1AD1">
      <w:pPr>
        <w:widowControl/>
        <w:wordWrap w:val="0"/>
        <w:snapToGrid w:val="0"/>
        <w:ind w:firstLine="198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中華民國</w:t>
      </w:r>
      <w:r w:rsidRPr="00DD0EA4">
        <w:rPr>
          <w:rFonts w:ascii="標楷體" w:eastAsia="標楷體" w:hAnsi="標楷體" w:cs="新細明體"/>
          <w:kern w:val="0"/>
          <w:sz w:val="20"/>
          <w:szCs w:val="20"/>
        </w:rPr>
        <w:t>113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Pr="00DD0EA4">
        <w:rPr>
          <w:rFonts w:ascii="標楷體" w:eastAsia="標楷體" w:hAnsi="標楷體" w:cs="新細明體"/>
          <w:kern w:val="0"/>
          <w:sz w:val="20"/>
          <w:szCs w:val="20"/>
        </w:rPr>
        <w:t>5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Pr="00DD0EA4">
        <w:rPr>
          <w:rFonts w:ascii="標楷體" w:eastAsia="標楷體" w:hAnsi="標楷體" w:cs="新細明體"/>
          <w:kern w:val="0"/>
          <w:sz w:val="20"/>
          <w:szCs w:val="20"/>
        </w:rPr>
        <w:t>14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日課程發展委員會討論通過</w:t>
      </w:r>
    </w:p>
    <w:p w:rsidR="004F3EB3" w:rsidRPr="00DD0EA4" w:rsidRDefault="004F3EB3" w:rsidP="004F3EB3">
      <w:pPr>
        <w:widowControl/>
        <w:snapToGrid w:val="0"/>
        <w:ind w:firstLine="198"/>
        <w:jc w:val="right"/>
        <w:rPr>
          <w:rFonts w:ascii="標楷體" w:eastAsia="標楷體" w:hAnsi="標楷體" w:cs="新細明體"/>
          <w:kern w:val="0"/>
          <w:sz w:val="20"/>
          <w:szCs w:val="20"/>
        </w:rPr>
      </w:pP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中華民國</w:t>
      </w:r>
      <w:r w:rsidRPr="00DD0EA4">
        <w:rPr>
          <w:rFonts w:ascii="標楷體" w:eastAsia="標楷體" w:hAnsi="標楷體" w:cs="新細明體"/>
          <w:kern w:val="0"/>
          <w:sz w:val="20"/>
          <w:szCs w:val="20"/>
        </w:rPr>
        <w:t>113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年</w:t>
      </w:r>
      <w:r w:rsidR="00661A54"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6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="00661A54"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2</w:t>
      </w:r>
      <w:r w:rsidR="00661A54" w:rsidRPr="00DD0EA4">
        <w:rPr>
          <w:rFonts w:ascii="標楷體" w:eastAsia="標楷體" w:hAnsi="標楷體" w:cs="新細明體"/>
          <w:kern w:val="0"/>
          <w:sz w:val="20"/>
          <w:szCs w:val="20"/>
        </w:rPr>
        <w:t>8</w:t>
      </w:r>
      <w:r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日校務會議討論</w:t>
      </w:r>
      <w:r w:rsidR="00DD0EA4" w:rsidRPr="00DD0EA4">
        <w:rPr>
          <w:rFonts w:ascii="標楷體" w:eastAsia="標楷體" w:hAnsi="標楷體" w:cs="新細明體" w:hint="eastAsia"/>
          <w:kern w:val="0"/>
          <w:sz w:val="20"/>
          <w:szCs w:val="20"/>
        </w:rPr>
        <w:t>通過</w:t>
      </w:r>
    </w:p>
    <w:p w:rsidR="00CD1AD1" w:rsidRPr="00E31DB8" w:rsidRDefault="00CD1AD1" w:rsidP="00CD1AD1">
      <w:pPr>
        <w:widowControl/>
        <w:snapToGrid w:val="0"/>
        <w:ind w:firstLine="198"/>
        <w:jc w:val="right"/>
        <w:rPr>
          <w:rFonts w:ascii="標楷體" w:eastAsia="標楷體" w:hAnsi="標楷體" w:cs="新細明體"/>
          <w:color w:val="000000" w:themeColor="text1"/>
          <w:kern w:val="0"/>
          <w:shd w:val="clear" w:color="auto" w:fill="FFFFFF" w:themeFill="background1"/>
        </w:rPr>
      </w:pPr>
    </w:p>
    <w:p w:rsidR="00002EB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依據：</w:t>
      </w:r>
      <w:r w:rsidR="00E80580" w:rsidRPr="00E31DB8">
        <w:rPr>
          <w:rFonts w:ascii="標楷體" w:eastAsia="標楷體" w:hAnsi="標楷體"/>
          <w:kern w:val="0"/>
          <w:shd w:val="clear" w:color="auto" w:fill="FFFFFF" w:themeFill="background1"/>
        </w:rPr>
        <w:t>教育部中華民國</w:t>
      </w:r>
      <w:r w:rsidR="003B3E90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112</w:t>
      </w:r>
      <w:r w:rsidR="00E80580" w:rsidRPr="00E31DB8">
        <w:rPr>
          <w:rFonts w:ascii="標楷體" w:eastAsia="標楷體" w:hAnsi="標楷體"/>
          <w:kern w:val="0"/>
          <w:shd w:val="clear" w:color="auto" w:fill="FFFFFF" w:themeFill="background1"/>
        </w:rPr>
        <w:t>年</w:t>
      </w:r>
      <w:r w:rsidR="003B3E90" w:rsidRPr="00E31DB8">
        <w:rPr>
          <w:rFonts w:ascii="標楷體" w:eastAsia="標楷體" w:hAnsi="標楷體"/>
          <w:kern w:val="0"/>
          <w:shd w:val="clear" w:color="auto" w:fill="FFFFFF" w:themeFill="background1"/>
        </w:rPr>
        <w:t>03</w:t>
      </w:r>
      <w:r w:rsidR="00E80580" w:rsidRPr="00E31DB8">
        <w:rPr>
          <w:rFonts w:ascii="標楷體" w:eastAsia="標楷體" w:hAnsi="標楷體"/>
          <w:kern w:val="0"/>
          <w:shd w:val="clear" w:color="auto" w:fill="FFFFFF" w:themeFill="background1"/>
        </w:rPr>
        <w:t>月</w:t>
      </w:r>
      <w:r w:rsidR="003B3E90" w:rsidRPr="00E31DB8">
        <w:rPr>
          <w:rFonts w:ascii="標楷體" w:eastAsia="標楷體" w:hAnsi="標楷體"/>
          <w:kern w:val="0"/>
          <w:shd w:val="clear" w:color="auto" w:fill="FFFFFF" w:themeFill="background1"/>
        </w:rPr>
        <w:t>16</w:t>
      </w:r>
      <w:r w:rsidR="00E80580" w:rsidRPr="00E31DB8">
        <w:rPr>
          <w:rFonts w:ascii="標楷體" w:eastAsia="標楷體" w:hAnsi="標楷體"/>
          <w:kern w:val="0"/>
          <w:shd w:val="clear" w:color="auto" w:fill="FFFFFF" w:themeFill="background1"/>
        </w:rPr>
        <w:t>日</w:t>
      </w:r>
      <w:r w:rsidR="00002EB8" w:rsidRPr="00E31DB8">
        <w:rPr>
          <w:rFonts w:ascii="標楷體" w:eastAsia="標楷體" w:hAnsi="標楷體" w:hint="eastAsia"/>
          <w:szCs w:val="27"/>
          <w:shd w:val="clear" w:color="auto" w:fill="FFFFFF" w:themeFill="background1"/>
        </w:rPr>
        <w:t>臺教國署高字第1120024619A號令</w:t>
      </w:r>
      <w:r w:rsidR="00002EB8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「</w:t>
      </w:r>
      <w:r w:rsidR="00002EB8" w:rsidRPr="00E31DB8">
        <w:rPr>
          <w:rFonts w:ascii="標楷體" w:eastAsia="標楷體" w:hAnsi="標楷體" w:hint="eastAsia"/>
          <w:shd w:val="clear" w:color="auto" w:fill="FFFFFF" w:themeFill="background1"/>
        </w:rPr>
        <w:t>高級中等學校課業輔導實施要點</w:t>
      </w:r>
      <w:r w:rsidR="00002EB8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」。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color w:val="000000" w:themeColor="text1"/>
          <w:kern w:val="0"/>
          <w:shd w:val="clear" w:color="auto" w:fill="FFFFFF" w:themeFill="background1"/>
        </w:rPr>
        <w:t>目的：為加強本校學生課業學習興趣，增進學習效果，並協助低成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就學生實施補救教學，減少挫折，特訂定本實施要點。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對象：全體在校學生。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辦理原則：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辦理課業輔導應符合行政程序規範，學校應依作業程序公告辦法，並轉知校內相關人員暨通知學生家長且由學生自由參加。</w:t>
      </w:r>
      <w:r w:rsidR="0007019F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辦理學生課業輔導內容，一、二年級開設基礎學科課程為原則，三年級以升學有關科目為主，必要時開設專業科目。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學期中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舉辦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之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課業輔導，應安排在</w:t>
      </w:r>
      <w:r w:rsidR="00E44A85" w:rsidRPr="00E31DB8">
        <w:rPr>
          <w:rFonts w:ascii="標楷體" w:eastAsia="標楷體" w:hAnsi="標楷體" w:hint="eastAsia"/>
          <w:shd w:val="clear" w:color="auto" w:fill="FFFFFF" w:themeFill="background1"/>
        </w:rPr>
        <w:t>每日科目課程、團體活動時間及彈性學習時間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之後，且每週不得超過五天，</w:t>
      </w:r>
      <w:r w:rsidR="005844DA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每堂</w:t>
      </w:r>
      <w:r w:rsidR="00B526AC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課程結束時間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不得超過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十七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時三十分。寒假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課業輔導，總計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不得多於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四十</w:t>
      </w:r>
      <w:r w:rsidR="00E44A85" w:rsidRPr="00E31DB8">
        <w:rPr>
          <w:rFonts w:ascii="標楷體" w:eastAsia="標楷體" w:hAnsi="標楷體"/>
          <w:kern w:val="0"/>
          <w:shd w:val="clear" w:color="auto" w:fill="FFFFFF" w:themeFill="background1"/>
        </w:rPr>
        <w:t>節</w:t>
      </w:r>
      <w:r w:rsidR="00E44A85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；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暑假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課業輔導，總計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不得多於</w:t>
      </w:r>
      <w:r w:rsidR="00E84586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一百二十</w:t>
      </w:r>
      <w:r w:rsidR="00E84586" w:rsidRPr="00E31DB8">
        <w:rPr>
          <w:rFonts w:ascii="標楷體" w:eastAsia="標楷體" w:hAnsi="標楷體"/>
          <w:kern w:val="0"/>
          <w:shd w:val="clear" w:color="auto" w:fill="FFFFFF" w:themeFill="background1"/>
        </w:rPr>
        <w:t>節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。</w:t>
      </w:r>
    </w:p>
    <w:p w:rsidR="00756408" w:rsidRPr="00E31DB8" w:rsidRDefault="00331C42" w:rsidP="006755F5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CD1AD1" w:rsidRPr="00E31DB8">
        <w:rPr>
          <w:rFonts w:ascii="標楷體" w:eastAsia="標楷體" w:hAnsi="標楷體"/>
          <w:kern w:val="0"/>
          <w:shd w:val="clear" w:color="auto" w:fill="FFFFFF" w:themeFill="background1"/>
        </w:rPr>
        <w:t>每班人數下限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以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十五人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為原則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，</w:t>
      </w:r>
      <w:r w:rsidR="006755F5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並不得</w:t>
      </w:r>
      <w:r w:rsidR="006755F5" w:rsidRPr="00E31DB8">
        <w:rPr>
          <w:rFonts w:ascii="標楷體" w:eastAsia="標楷體" w:hAnsi="標楷體"/>
          <w:kern w:val="0"/>
          <w:shd w:val="clear" w:color="auto" w:fill="FFFFFF" w:themeFill="background1"/>
        </w:rPr>
        <w:t>超過</w:t>
      </w:r>
      <w:r w:rsidR="006755F5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四十五</w:t>
      </w:r>
      <w:r w:rsidR="006755F5" w:rsidRPr="00E31DB8">
        <w:rPr>
          <w:rFonts w:ascii="標楷體" w:eastAsia="標楷體" w:hAnsi="標楷體"/>
          <w:kern w:val="0"/>
          <w:shd w:val="clear" w:color="auto" w:fill="FFFFFF" w:themeFill="background1"/>
        </w:rPr>
        <w:t>人</w:t>
      </w:r>
      <w:r w:rsidR="006755F5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。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若未達成班標準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，</w:t>
      </w:r>
      <w:r w:rsidR="006755F5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將</w:t>
      </w:r>
      <w:r w:rsidR="003638FD" w:rsidRPr="00E31DB8">
        <w:rPr>
          <w:rFonts w:ascii="標楷體" w:eastAsia="標楷體" w:hAnsi="標楷體"/>
          <w:kern w:val="0"/>
          <w:shd w:val="clear" w:color="auto" w:fill="FFFFFF" w:themeFill="background1"/>
        </w:rPr>
        <w:t>已繳費用全額退</w:t>
      </w:r>
      <w:r w:rsidR="003638FD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還學生</w:t>
      </w:r>
      <w:r w:rsidR="006755F5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(人數計算以繳費截止日完成繳費學生為準)。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課業輔導開班以原班上課為原則，遇人數不足時，則協調併班。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課業輔導教材，得編選補充教材，印發講義應用，並不可另收教材或講義費。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舉辦課業輔導應注意學生安全，其在校生活仍應按照學校之常規管理，尤應注意品德之陶冶與群性之培養。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教務處負責統籌課業輔導開課相關事宜，包括班級學生名單、教室編排、教師排課、授課鐘頭之確認、統計、相關報表之編制以及各項經費之編列等。</w:t>
      </w:r>
    </w:p>
    <w:p w:rsidR="00756408" w:rsidRPr="00E31DB8" w:rsidRDefault="00331C42" w:rsidP="00756408">
      <w:pPr>
        <w:widowControl/>
        <w:numPr>
          <w:ilvl w:val="1"/>
          <w:numId w:val="2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行政支援：</w:t>
      </w:r>
    </w:p>
    <w:p w:rsidR="00756408" w:rsidRPr="00E31DB8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學務處：放學路隊督導及學生突發狀況處理。</w:t>
      </w:r>
    </w:p>
    <w:p w:rsidR="00756408" w:rsidRPr="00E31DB8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總務處：各班輔導費點收，相關費用發放、其他各項相關庶務工作。</w:t>
      </w:r>
    </w:p>
    <w:p w:rsidR="00756408" w:rsidRPr="00B74767" w:rsidRDefault="00A45F6D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C9742D">
        <w:rPr>
          <w:rFonts w:ascii="標楷體" w:eastAsia="標楷體" w:hAnsi="標楷體" w:hint="eastAsia"/>
          <w:kern w:val="0"/>
        </w:rPr>
        <w:t>輔導室</w:t>
      </w:r>
      <w:r w:rsidR="00756408" w:rsidRPr="00B74767">
        <w:rPr>
          <w:rFonts w:ascii="標楷體" w:eastAsia="標楷體" w:hAnsi="標楷體"/>
          <w:kern w:val="0"/>
        </w:rPr>
        <w:t>：學生生涯輔導。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圖書館：參考書籍借閱。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人事室：輔導課相關辦法內容及鐘點費、加班費之審核。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會計室：各項收支核算。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科主任：輔導課相關事項之協助及學生升學之輔導。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各班導師：宣導輔導課相關事項、班上學生之上課及生活輔導。</w:t>
      </w:r>
    </w:p>
    <w:p w:rsidR="00756408" w:rsidRPr="00B74767" w:rsidRDefault="00756408" w:rsidP="00756408">
      <w:pPr>
        <w:widowControl/>
        <w:spacing w:line="400" w:lineRule="exact"/>
        <w:ind w:left="765"/>
        <w:jc w:val="both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共同科研究會主席：輔導課程之教材內容訂定及任課教師之協調。</w:t>
      </w:r>
    </w:p>
    <w:p w:rsidR="00756408" w:rsidRPr="00B74767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kern w:val="0"/>
        </w:rPr>
      </w:pPr>
      <w:r w:rsidRPr="00B74767">
        <w:rPr>
          <w:rFonts w:ascii="標楷體" w:eastAsia="標楷體" w:hAnsi="標楷體"/>
          <w:kern w:val="0"/>
        </w:rPr>
        <w:t>收費及經費用途：</w:t>
      </w:r>
    </w:p>
    <w:p w:rsidR="00756408" w:rsidRPr="00B74767" w:rsidRDefault="00331C42" w:rsidP="00756408">
      <w:pPr>
        <w:widowControl/>
        <w:numPr>
          <w:ilvl w:val="1"/>
          <w:numId w:val="4"/>
        </w:numPr>
        <w:spacing w:line="400" w:lineRule="exac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</w:t>
      </w:r>
      <w:r w:rsidR="00756408" w:rsidRPr="00B74767">
        <w:rPr>
          <w:rFonts w:ascii="標楷體" w:eastAsia="標楷體" w:hAnsi="標楷體"/>
          <w:kern w:val="0"/>
        </w:rPr>
        <w:t>收費：</w:t>
      </w:r>
    </w:p>
    <w:p w:rsidR="00756408" w:rsidRPr="004C3C11" w:rsidRDefault="00756408" w:rsidP="00372143">
      <w:pPr>
        <w:widowControl/>
        <w:numPr>
          <w:ilvl w:val="2"/>
          <w:numId w:val="3"/>
        </w:numPr>
        <w:spacing w:line="400" w:lineRule="exact"/>
        <w:rPr>
          <w:rFonts w:ascii="標楷體" w:eastAsia="標楷體" w:hAnsi="標楷體"/>
          <w:kern w:val="0"/>
        </w:rPr>
      </w:pPr>
      <w:r w:rsidRPr="004C3C11">
        <w:rPr>
          <w:rFonts w:ascii="標楷體" w:eastAsia="標楷體" w:hAnsi="標楷體"/>
          <w:kern w:val="0"/>
        </w:rPr>
        <w:t>收費依據</w:t>
      </w:r>
      <w:r w:rsidR="00372143" w:rsidRPr="004C3C11">
        <w:rPr>
          <w:rFonts w:ascii="標楷體" w:eastAsia="標楷體" w:hAnsi="標楷體" w:hint="eastAsia"/>
          <w:kern w:val="0"/>
        </w:rPr>
        <w:t>高級中等學校課業輔導實施要點</w:t>
      </w:r>
      <w:r w:rsidRPr="004C3C11">
        <w:rPr>
          <w:rFonts w:ascii="標楷體" w:eastAsia="標楷體" w:hAnsi="標楷體"/>
          <w:kern w:val="0"/>
        </w:rPr>
        <w:t>辦理，以支付教師鐘點費</w:t>
      </w:r>
      <w:r w:rsidR="005844DA" w:rsidRPr="004C3C11">
        <w:rPr>
          <w:rFonts w:ascii="標楷體" w:eastAsia="標楷體" w:hAnsi="標楷體"/>
          <w:kern w:val="0"/>
        </w:rPr>
        <w:t>、編印教材講義費</w:t>
      </w:r>
      <w:r w:rsidR="005844DA" w:rsidRPr="004C3C11">
        <w:rPr>
          <w:rFonts w:ascii="標楷體" w:eastAsia="標楷體" w:hAnsi="標楷體" w:hint="eastAsia"/>
          <w:kern w:val="0"/>
        </w:rPr>
        <w:t>及</w:t>
      </w:r>
      <w:r w:rsidRPr="004C3C11">
        <w:rPr>
          <w:rFonts w:ascii="標楷體" w:eastAsia="標楷體" w:hAnsi="標楷體"/>
          <w:kern w:val="0"/>
        </w:rPr>
        <w:t>水電費為原則。</w:t>
      </w:r>
    </w:p>
    <w:p w:rsidR="00756408" w:rsidRPr="00E31DB8" w:rsidRDefault="00756408" w:rsidP="00756408">
      <w:pPr>
        <w:widowControl/>
        <w:numPr>
          <w:ilvl w:val="2"/>
          <w:numId w:val="3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本校實施課業輔導應事先通知函告家長，並經家長同意擲交回條後，依主管機關規定令另執單據繳費。</w:t>
      </w:r>
    </w:p>
    <w:p w:rsidR="00756408" w:rsidRPr="00E31DB8" w:rsidRDefault="00756408" w:rsidP="00756408">
      <w:pPr>
        <w:widowControl/>
        <w:numPr>
          <w:ilvl w:val="1"/>
          <w:numId w:val="4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經費支應：</w:t>
      </w:r>
    </w:p>
    <w:p w:rsidR="00756408" w:rsidRPr="00E31DB8" w:rsidRDefault="00756408" w:rsidP="00756408">
      <w:pPr>
        <w:widowControl/>
        <w:numPr>
          <w:ilvl w:val="2"/>
          <w:numId w:val="5"/>
        </w:numPr>
        <w:spacing w:line="400" w:lineRule="exact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辦理課業輔導所收費用，應優先支付教師鐘點費為原則；餘額得作為教學活動業務、材料所需經費、學生獎勵、行政管理及加班費等支出，惟不得超過總額百分之二十。如再有剩餘應發還給學生</w:t>
      </w:r>
      <w:r w:rsidR="009364EC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。</w:t>
      </w:r>
    </w:p>
    <w:p w:rsidR="00756408" w:rsidRPr="00E31DB8" w:rsidRDefault="00756408" w:rsidP="00CB64FC">
      <w:pPr>
        <w:widowControl/>
        <w:numPr>
          <w:ilvl w:val="2"/>
          <w:numId w:val="5"/>
        </w:numPr>
        <w:spacing w:line="400" w:lineRule="exact"/>
        <w:rPr>
          <w:rFonts w:ascii="標楷體" w:eastAsia="標楷體" w:hAnsi="標楷體"/>
          <w:color w:val="FF0000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課業輔導教師鐘點費依照頒定標準</w:t>
      </w:r>
      <w:r w:rsidR="00CB64FC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及實際參與學生總收入費用</w:t>
      </w:r>
      <w:r w:rsidR="00CB64FC" w:rsidRPr="00E31DB8">
        <w:rPr>
          <w:rFonts w:ascii="標楷體" w:eastAsia="標楷體" w:hAnsi="標楷體"/>
          <w:kern w:val="0"/>
          <w:shd w:val="clear" w:color="auto" w:fill="FFFFFF" w:themeFill="background1"/>
        </w:rPr>
        <w:t>，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核實支給</w:t>
      </w:r>
      <w:r w:rsidR="00CB64FC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教師鐘點費，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每節</w:t>
      </w:r>
      <w:r w:rsidR="00A1125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四百二十元至</w:t>
      </w:r>
      <w:r w:rsidR="00810671" w:rsidRPr="00E31DB8">
        <w:rPr>
          <w:rFonts w:ascii="標楷體" w:eastAsia="標楷體" w:hAnsi="標楷體" w:hint="eastAsia"/>
          <w:color w:val="000000" w:themeColor="text1"/>
          <w:kern w:val="0"/>
          <w:shd w:val="clear" w:color="auto" w:fill="FFFFFF" w:themeFill="background1"/>
        </w:rPr>
        <w:t>五百五十</w:t>
      </w:r>
      <w:r w:rsidRPr="00E31DB8">
        <w:rPr>
          <w:rFonts w:ascii="標楷體" w:eastAsia="標楷體" w:hAnsi="標楷體"/>
          <w:color w:val="000000" w:themeColor="text1"/>
          <w:kern w:val="0"/>
          <w:shd w:val="clear" w:color="auto" w:fill="FFFFFF" w:themeFill="background1"/>
        </w:rPr>
        <w:t>元</w:t>
      </w:r>
      <w:r w:rsidR="00A11251" w:rsidRPr="00E31DB8">
        <w:rPr>
          <w:rFonts w:ascii="標楷體" w:eastAsia="標楷體" w:hAnsi="標楷體" w:hint="eastAsia"/>
          <w:color w:val="000000" w:themeColor="text1"/>
          <w:kern w:val="0"/>
          <w:shd w:val="clear" w:color="auto" w:fill="FFFFFF" w:themeFill="background1"/>
        </w:rPr>
        <w:t>為原</w:t>
      </w:r>
      <w:r w:rsidR="00A1125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則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 w:themeColor="text1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/>
          <w:color w:val="000000" w:themeColor="text1"/>
          <w:kern w:val="0"/>
          <w:shd w:val="clear" w:color="auto" w:fill="FFFFFF" w:themeFill="background1"/>
        </w:rPr>
        <w:t>注意事項：</w:t>
      </w:r>
    </w:p>
    <w:p w:rsidR="008B5A27" w:rsidRPr="00E31DB8" w:rsidRDefault="00CD1AD1" w:rsidP="00632C2A">
      <w:pPr>
        <w:pStyle w:val="ab"/>
        <w:widowControl/>
        <w:numPr>
          <w:ilvl w:val="1"/>
          <w:numId w:val="1"/>
        </w:numPr>
        <w:spacing w:line="400" w:lineRule="exact"/>
        <w:ind w:leftChars="0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學期中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舉辦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之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課業輔導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上課時間為課後第</w:t>
      </w:r>
      <w:r w:rsidR="008E5B0E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八</w:t>
      </w:r>
      <w:r w:rsidR="00756408" w:rsidRPr="00E31DB8">
        <w:rPr>
          <w:rFonts w:ascii="標楷體" w:eastAsia="標楷體" w:hAnsi="標楷體"/>
          <w:kern w:val="0"/>
          <w:shd w:val="clear" w:color="auto" w:fill="FFFFFF" w:themeFill="background1"/>
        </w:rPr>
        <w:t>節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；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寒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暑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假</w:t>
      </w:r>
      <w:r w:rsidR="008B5A27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期間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舉辦之課業輔導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上課時間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以</w:t>
      </w: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第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二</w:t>
      </w:r>
    </w:p>
    <w:p w:rsidR="00756408" w:rsidRPr="00E31DB8" w:rsidRDefault="008B5A27" w:rsidP="008B5A27">
      <w:pPr>
        <w:widowControl/>
        <w:spacing w:line="400" w:lineRule="exact"/>
        <w:ind w:left="227"/>
        <w:rPr>
          <w:rFonts w:ascii="標楷體" w:eastAsia="標楷體" w:hAnsi="標楷體"/>
          <w:kern w:val="0"/>
          <w:shd w:val="clear" w:color="auto" w:fill="FFFFFF" w:themeFill="background1"/>
        </w:rPr>
      </w:pP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 xml:space="preserve">     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~七</w:t>
      </w:r>
      <w:r w:rsidR="00CD1AD1" w:rsidRPr="00E31DB8">
        <w:rPr>
          <w:rFonts w:ascii="標楷體" w:eastAsia="標楷體" w:hAnsi="標楷體"/>
          <w:kern w:val="0"/>
          <w:shd w:val="clear" w:color="auto" w:fill="FFFFFF" w:themeFill="background1"/>
        </w:rPr>
        <w:t>節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為原則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。</w:t>
      </w:r>
      <w:r w:rsidR="00632C2A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學生參與本校辦理之</w:t>
      </w:r>
      <w:r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課業輔導課程</w:t>
      </w:r>
      <w:r w:rsidR="00632C2A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需依照鐘聲作息</w:t>
      </w:r>
      <w:r w:rsidR="00CD1AD1" w:rsidRPr="00E31DB8">
        <w:rPr>
          <w:rFonts w:ascii="標楷體" w:eastAsia="標楷體" w:hAnsi="標楷體" w:hint="eastAsia"/>
          <w:kern w:val="0"/>
          <w:shd w:val="clear" w:color="auto" w:fill="FFFFFF" w:themeFill="background1"/>
        </w:rPr>
        <w:t>。</w:t>
      </w:r>
    </w:p>
    <w:p w:rsidR="00756408" w:rsidRPr="00E31DB8" w:rsidRDefault="00756408" w:rsidP="00756408">
      <w:pPr>
        <w:widowControl/>
        <w:numPr>
          <w:ilvl w:val="0"/>
          <w:numId w:val="1"/>
        </w:numPr>
        <w:spacing w:line="400" w:lineRule="exact"/>
        <w:rPr>
          <w:rFonts w:ascii="標楷體" w:eastAsia="標楷體" w:hAnsi="標楷體"/>
          <w:shd w:val="clear" w:color="auto" w:fill="FFFFFF" w:themeFill="background1"/>
        </w:rPr>
      </w:pPr>
      <w:r w:rsidRPr="00E31DB8">
        <w:rPr>
          <w:rFonts w:ascii="標楷體" w:eastAsia="標楷體" w:hAnsi="標楷體"/>
          <w:kern w:val="0"/>
          <w:shd w:val="clear" w:color="auto" w:fill="FFFFFF" w:themeFill="background1"/>
        </w:rPr>
        <w:t>本要點經校務會議討論通過，校長核可後實施，修正時亦同。</w:t>
      </w:r>
    </w:p>
    <w:p w:rsidR="003A1C10" w:rsidRPr="00E31DB8" w:rsidRDefault="003A1C10" w:rsidP="00756408">
      <w:pPr>
        <w:rPr>
          <w:shd w:val="clear" w:color="auto" w:fill="FFFFFF" w:themeFill="background1"/>
        </w:rPr>
      </w:pPr>
    </w:p>
    <w:p w:rsidR="00E624B4" w:rsidRDefault="00E624B4" w:rsidP="00756408"/>
    <w:p w:rsidR="00E624B4" w:rsidRPr="004E6BD3" w:rsidRDefault="00E624B4" w:rsidP="00756408"/>
    <w:sectPr w:rsidR="00E624B4" w:rsidRPr="004E6BD3" w:rsidSect="00B10C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9F" w:rsidRDefault="0003629F" w:rsidP="00D24544">
      <w:r>
        <w:separator/>
      </w:r>
    </w:p>
  </w:endnote>
  <w:endnote w:type="continuationSeparator" w:id="0">
    <w:p w:rsidR="0003629F" w:rsidRDefault="0003629F" w:rsidP="00D2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研澤楷書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9F" w:rsidRDefault="0003629F" w:rsidP="00D24544">
      <w:r>
        <w:separator/>
      </w:r>
    </w:p>
  </w:footnote>
  <w:footnote w:type="continuationSeparator" w:id="0">
    <w:p w:rsidR="0003629F" w:rsidRDefault="0003629F" w:rsidP="00D24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3CB"/>
    <w:multiLevelType w:val="multilevel"/>
    <w:tmpl w:val="0EFA1132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596F4B"/>
    <w:multiLevelType w:val="multilevel"/>
    <w:tmpl w:val="E6063690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1247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907" w:hanging="283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3715D7B"/>
    <w:multiLevelType w:val="multilevel"/>
    <w:tmpl w:val="712AC9FE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450E86"/>
    <w:multiLevelType w:val="multilevel"/>
    <w:tmpl w:val="6086883C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1247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4060930"/>
    <w:multiLevelType w:val="hybridMultilevel"/>
    <w:tmpl w:val="D69A5F26"/>
    <w:lvl w:ilvl="0" w:tplc="1214E926">
      <w:start w:val="1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5" w15:restartNumberingAfterBreak="0">
    <w:nsid w:val="666F00D6"/>
    <w:multiLevelType w:val="multilevel"/>
    <w:tmpl w:val="78CEE588"/>
    <w:lvl w:ilvl="0">
      <w:start w:val="1"/>
      <w:numFmt w:val="taiwaneseCountingThousand"/>
      <w:suff w:val="space"/>
      <w:lvlText w:val="%1、"/>
      <w:lvlJc w:val="left"/>
      <w:pPr>
        <w:ind w:left="595" w:hanging="595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765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87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7C2B5C9B"/>
    <w:multiLevelType w:val="multilevel"/>
    <w:tmpl w:val="48D691DA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  <w:b w:val="0"/>
        <w:i w:val="0"/>
        <w:sz w:val="26"/>
        <w:u w:val="none"/>
        <w:em w:val="none"/>
      </w:rPr>
    </w:lvl>
    <w:lvl w:ilvl="1">
      <w:start w:val="1"/>
      <w:numFmt w:val="taiwaneseCountingThousand"/>
      <w:suff w:val="nothing"/>
      <w:lvlText w:val="(%2)"/>
      <w:lvlJc w:val="left"/>
      <w:pPr>
        <w:ind w:left="567" w:hanging="425"/>
      </w:pPr>
      <w:rPr>
        <w:rFonts w:ascii="Times New Roman" w:eastAsia="標楷體" w:hAnsi="Times New Roman" w:hint="default"/>
        <w:b w:val="0"/>
        <w:i w:val="0"/>
        <w:sz w:val="26"/>
        <w:u w:val="none"/>
      </w:rPr>
    </w:lvl>
    <w:lvl w:ilvl="2">
      <w:start w:val="1"/>
      <w:numFmt w:val="decimal"/>
      <w:suff w:val="space"/>
      <w:lvlText w:val="%3."/>
      <w:lvlJc w:val="left"/>
      <w:pPr>
        <w:ind w:left="1021" w:hanging="397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1588" w:hanging="62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08"/>
    <w:rsid w:val="00000FC3"/>
    <w:rsid w:val="00002EB8"/>
    <w:rsid w:val="00035FA7"/>
    <w:rsid w:val="0003629F"/>
    <w:rsid w:val="0007019F"/>
    <w:rsid w:val="00090830"/>
    <w:rsid w:val="0013094C"/>
    <w:rsid w:val="00145B49"/>
    <w:rsid w:val="001B68A1"/>
    <w:rsid w:val="001E0655"/>
    <w:rsid w:val="00262262"/>
    <w:rsid w:val="00271077"/>
    <w:rsid w:val="002A5514"/>
    <w:rsid w:val="0032414E"/>
    <w:rsid w:val="00331C42"/>
    <w:rsid w:val="003561C1"/>
    <w:rsid w:val="003638FD"/>
    <w:rsid w:val="00372143"/>
    <w:rsid w:val="00380402"/>
    <w:rsid w:val="003A1C10"/>
    <w:rsid w:val="003B3E90"/>
    <w:rsid w:val="003E4655"/>
    <w:rsid w:val="003F32B9"/>
    <w:rsid w:val="004522E0"/>
    <w:rsid w:val="00493D1F"/>
    <w:rsid w:val="004C3C11"/>
    <w:rsid w:val="004E6BD3"/>
    <w:rsid w:val="004F3EB3"/>
    <w:rsid w:val="005844DA"/>
    <w:rsid w:val="005C39B6"/>
    <w:rsid w:val="005D34B1"/>
    <w:rsid w:val="005D379F"/>
    <w:rsid w:val="005E3094"/>
    <w:rsid w:val="00606B3F"/>
    <w:rsid w:val="0061475B"/>
    <w:rsid w:val="006322B2"/>
    <w:rsid w:val="00632C2A"/>
    <w:rsid w:val="00661A54"/>
    <w:rsid w:val="006755F5"/>
    <w:rsid w:val="006A7848"/>
    <w:rsid w:val="00756408"/>
    <w:rsid w:val="007C73E6"/>
    <w:rsid w:val="007D0548"/>
    <w:rsid w:val="007F0F23"/>
    <w:rsid w:val="00810671"/>
    <w:rsid w:val="008B5A27"/>
    <w:rsid w:val="008E5B0E"/>
    <w:rsid w:val="009364EC"/>
    <w:rsid w:val="00937781"/>
    <w:rsid w:val="00940868"/>
    <w:rsid w:val="009612C4"/>
    <w:rsid w:val="00A11251"/>
    <w:rsid w:val="00A16D3E"/>
    <w:rsid w:val="00A33EB0"/>
    <w:rsid w:val="00A45F6D"/>
    <w:rsid w:val="00A5555F"/>
    <w:rsid w:val="00A649ED"/>
    <w:rsid w:val="00A77AF7"/>
    <w:rsid w:val="00AD5DD5"/>
    <w:rsid w:val="00B05B71"/>
    <w:rsid w:val="00B0607A"/>
    <w:rsid w:val="00B10CDD"/>
    <w:rsid w:val="00B46FFA"/>
    <w:rsid w:val="00B526AC"/>
    <w:rsid w:val="00B61E60"/>
    <w:rsid w:val="00B80C68"/>
    <w:rsid w:val="00B95E21"/>
    <w:rsid w:val="00BD190B"/>
    <w:rsid w:val="00C43039"/>
    <w:rsid w:val="00C666DE"/>
    <w:rsid w:val="00C84F8E"/>
    <w:rsid w:val="00C9742D"/>
    <w:rsid w:val="00CB620D"/>
    <w:rsid w:val="00CB64FC"/>
    <w:rsid w:val="00CC6021"/>
    <w:rsid w:val="00CD1AD1"/>
    <w:rsid w:val="00D24544"/>
    <w:rsid w:val="00D74DBD"/>
    <w:rsid w:val="00DD0EA4"/>
    <w:rsid w:val="00DE085B"/>
    <w:rsid w:val="00E31DB8"/>
    <w:rsid w:val="00E44A85"/>
    <w:rsid w:val="00E614E3"/>
    <w:rsid w:val="00E624B4"/>
    <w:rsid w:val="00E62902"/>
    <w:rsid w:val="00E63C30"/>
    <w:rsid w:val="00E80580"/>
    <w:rsid w:val="00E84586"/>
    <w:rsid w:val="00EA0917"/>
    <w:rsid w:val="00F1163C"/>
    <w:rsid w:val="00F869BE"/>
    <w:rsid w:val="00FD31DF"/>
    <w:rsid w:val="00FD639B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64C22740"/>
  <w15:docId w15:val="{4F35CDD5-C274-41CE-B6D9-E01103A9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4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24544"/>
    <w:rPr>
      <w:kern w:val="2"/>
    </w:rPr>
  </w:style>
  <w:style w:type="paragraph" w:styleId="a5">
    <w:name w:val="footer"/>
    <w:basedOn w:val="a"/>
    <w:link w:val="a6"/>
    <w:rsid w:val="00D24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24544"/>
    <w:rPr>
      <w:kern w:val="2"/>
    </w:rPr>
  </w:style>
  <w:style w:type="paragraph" w:styleId="a7">
    <w:name w:val="Body Text Indent"/>
    <w:basedOn w:val="a"/>
    <w:link w:val="a8"/>
    <w:rsid w:val="003A1C10"/>
    <w:pPr>
      <w:adjustRightInd w:val="0"/>
      <w:spacing w:after="120" w:line="360" w:lineRule="atLeast"/>
      <w:ind w:firstLine="540"/>
      <w:textAlignment w:val="baseline"/>
    </w:pPr>
    <w:rPr>
      <w:rFonts w:ascii="研澤楷書體" w:eastAsia="研澤楷書體"/>
      <w:kern w:val="0"/>
      <w:sz w:val="32"/>
      <w:szCs w:val="20"/>
    </w:rPr>
  </w:style>
  <w:style w:type="character" w:customStyle="1" w:styleId="a8">
    <w:name w:val="本文縮排 字元"/>
    <w:basedOn w:val="a0"/>
    <w:link w:val="a7"/>
    <w:rsid w:val="003A1C10"/>
    <w:rPr>
      <w:rFonts w:ascii="研澤楷書體" w:eastAsia="研澤楷書體"/>
      <w:sz w:val="32"/>
    </w:rPr>
  </w:style>
  <w:style w:type="paragraph" w:styleId="a9">
    <w:name w:val="Balloon Text"/>
    <w:basedOn w:val="a"/>
    <w:link w:val="aa"/>
    <w:semiHidden/>
    <w:unhideWhenUsed/>
    <w:rsid w:val="00B10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B10C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D1A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2</Pages>
  <Words>194</Words>
  <Characters>1111</Characters>
  <Application>Microsoft Office Word</Application>
  <DocSecurity>0</DocSecurity>
  <Lines>9</Lines>
  <Paragraphs>2</Paragraphs>
  <ScaleCrop>false</ScaleCrop>
  <Company>Microsoft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2024-04-26T02:23:00Z</cp:lastPrinted>
  <dcterms:created xsi:type="dcterms:W3CDTF">2024-04-18T06:09:00Z</dcterms:created>
  <dcterms:modified xsi:type="dcterms:W3CDTF">2024-06-28T08:20:00Z</dcterms:modified>
</cp:coreProperties>
</file>